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BCD3" w14:textId="0C3C66A5" w:rsidR="00036CD0" w:rsidRPr="004E19B0" w:rsidRDefault="00036CD0" w:rsidP="00036CD0">
      <w:r w:rsidRPr="004E19B0">
        <w:t>CNU 47-01</w:t>
      </w:r>
      <w:r w:rsidR="004E19B0" w:rsidRPr="004E19B0">
        <w:t xml:space="preserve"> : </w:t>
      </w:r>
      <w:r w:rsidRPr="004E19B0">
        <w:t>Hématologie ; transfusion</w:t>
      </w:r>
    </w:p>
    <w:p w14:paraId="4D1EE063" w14:textId="1C831BE4" w:rsidR="004E19B0" w:rsidRDefault="004E19B0" w:rsidP="004E19B0">
      <w:r>
        <w:t>R2C</w:t>
      </w:r>
      <w:r w:rsidR="004C70C7">
        <w:t xml:space="preserve">, </w:t>
      </w:r>
      <w:r>
        <w:t>décembre 2021</w:t>
      </w:r>
      <w:r w:rsidR="004C70C7">
        <w:t xml:space="preserve">. </w:t>
      </w:r>
    </w:p>
    <w:p w14:paraId="0A535DA5" w14:textId="77777777" w:rsidR="004E19B0" w:rsidRDefault="004E19B0" w:rsidP="004E19B0"/>
    <w:p w14:paraId="2B6BA9D2" w14:textId="36234BE2" w:rsidR="00036CD0" w:rsidRPr="00036CD0" w:rsidRDefault="00036CD0" w:rsidP="004E19B0">
      <w:pPr>
        <w:jc w:val="center"/>
        <w:rPr>
          <w:sz w:val="28"/>
        </w:rPr>
      </w:pPr>
      <w:r>
        <w:rPr>
          <w:sz w:val="28"/>
        </w:rPr>
        <w:t>Liste des</w:t>
      </w:r>
      <w:r w:rsidRPr="00036CD0">
        <w:rPr>
          <w:sz w:val="28"/>
        </w:rPr>
        <w:t xml:space="preserve"> items du programme de 2e cycle : R2C/Épreuves dématérialisées</w:t>
      </w:r>
    </w:p>
    <w:p w14:paraId="4007F425" w14:textId="77777777" w:rsidR="004E19B0" w:rsidRDefault="004E19B0" w:rsidP="00036CD0"/>
    <w:p w14:paraId="42891551" w14:textId="6B400F5F" w:rsidR="00E91C34" w:rsidRPr="00E91C34" w:rsidRDefault="00E91C34" w:rsidP="00036CD0">
      <w:r w:rsidRPr="00DA5001">
        <w:t>202 | Biothérapies et thérapies ciblées</w:t>
      </w:r>
      <w:r w:rsidRPr="00E91C34">
        <w:t xml:space="preserve"> </w:t>
      </w:r>
    </w:p>
    <w:p w14:paraId="3CBF5EAF" w14:textId="18E0CC5F" w:rsidR="00E91C34" w:rsidRPr="00E91C34" w:rsidRDefault="00E91C34" w:rsidP="00036CD0">
      <w:r w:rsidRPr="00E91C34">
        <w:t>212 | Hémogramme chez l’adulte et l’enfant</w:t>
      </w:r>
      <w:r w:rsidR="00C3307C">
        <w:t xml:space="preserve"> </w:t>
      </w:r>
      <w:r w:rsidR="00C3307C" w:rsidRPr="00C3307C">
        <w:t>: indications et interprétation.</w:t>
      </w:r>
    </w:p>
    <w:p w14:paraId="506CD8FF" w14:textId="030D16A2" w:rsidR="00E91C34" w:rsidRPr="00E91C34" w:rsidRDefault="00E91C34" w:rsidP="00036CD0">
      <w:r w:rsidRPr="00E91C34">
        <w:t>213 | Anémie chez l’adulte et l’enfant</w:t>
      </w:r>
    </w:p>
    <w:p w14:paraId="474CB049" w14:textId="77777777" w:rsidR="00E91C34" w:rsidRPr="00E91C34" w:rsidRDefault="00E91C34" w:rsidP="00036CD0">
      <w:r w:rsidRPr="00E91C34">
        <w:t>214 | Thrombopénie chez l’adulte et l’enfant</w:t>
      </w:r>
    </w:p>
    <w:p w14:paraId="4242196A" w14:textId="3ADE1AF2" w:rsidR="00E91C34" w:rsidRPr="00E91C34" w:rsidRDefault="00E91C34" w:rsidP="00036CD0">
      <w:r w:rsidRPr="00E91C34">
        <w:t>215 | Purpuras chez l’adulte et l’enfant</w:t>
      </w:r>
    </w:p>
    <w:p w14:paraId="5C8A79F8" w14:textId="77777777" w:rsidR="00E91C34" w:rsidRPr="00E91C34" w:rsidRDefault="00E91C34" w:rsidP="00036CD0">
      <w:r w:rsidRPr="00E91C34">
        <w:t>216 | Syndrome hémorragique d’origine hématologique</w:t>
      </w:r>
    </w:p>
    <w:p w14:paraId="33B1AD69" w14:textId="6CD1C893" w:rsidR="00E91C34" w:rsidRPr="00E91C34" w:rsidRDefault="00E91C34" w:rsidP="00036CD0">
      <w:r w:rsidRPr="00E91C34">
        <w:t>217 | Syndrome mononucléosique</w:t>
      </w:r>
    </w:p>
    <w:p w14:paraId="2D9F4FA5" w14:textId="77777777" w:rsidR="00E91C34" w:rsidRPr="00E91C34" w:rsidRDefault="00E91C34" w:rsidP="00036CD0">
      <w:r w:rsidRPr="00E91C34">
        <w:t>218 | Eosinophilie</w:t>
      </w:r>
    </w:p>
    <w:p w14:paraId="20A74E92" w14:textId="24A83DA6" w:rsidR="00E91C34" w:rsidRDefault="00E91C34" w:rsidP="00036CD0">
      <w:r w:rsidRPr="00E91C34">
        <w:t>219 | Pathologie du fer chez l’adulte et l’enfant</w:t>
      </w:r>
    </w:p>
    <w:p w14:paraId="054728D2" w14:textId="5D6D3CE4" w:rsidR="00E91C34" w:rsidRPr="00E91C34" w:rsidRDefault="00E91C34" w:rsidP="00036CD0">
      <w:r w:rsidRPr="00E91C34">
        <w:t>220 | Adénopathie superficielle de l’adulte et de l’enfant</w:t>
      </w:r>
    </w:p>
    <w:p w14:paraId="684D09EB" w14:textId="77777777" w:rsidR="00C3307C" w:rsidRDefault="00E91C34" w:rsidP="00036CD0">
      <w:r w:rsidRPr="00E91C34">
        <w:t xml:space="preserve">226 | Thrombose veineuse profonde et embolie pulmonaire </w:t>
      </w:r>
      <w:r w:rsidR="00C3307C">
        <w:t>(voir item 330)</w:t>
      </w:r>
    </w:p>
    <w:p w14:paraId="03B0E2FB" w14:textId="2AE677F4" w:rsidR="00E91C34" w:rsidRPr="00C3307C" w:rsidRDefault="00E91C34" w:rsidP="00036CD0">
      <w:r w:rsidRPr="00E91C34">
        <w:t>275 | Splénomégalie</w:t>
      </w:r>
    </w:p>
    <w:p w14:paraId="4BA785D3" w14:textId="77777777" w:rsidR="00C3307C" w:rsidRDefault="00E91C34" w:rsidP="00036CD0">
      <w:r w:rsidRPr="00E91C34">
        <w:t xml:space="preserve">296 | Agranulocytose médicamenteuse : </w:t>
      </w:r>
      <w:r w:rsidR="00C3307C" w:rsidRPr="00C3307C">
        <w:t>conduite à tenir.</w:t>
      </w:r>
    </w:p>
    <w:p w14:paraId="15982EE9" w14:textId="77777777" w:rsidR="00E91C34" w:rsidRPr="00E91C34" w:rsidRDefault="00E91C34" w:rsidP="00036CD0">
      <w:r w:rsidRPr="00E91C34">
        <w:t xml:space="preserve">315 | Leucémies aiguës </w:t>
      </w:r>
    </w:p>
    <w:p w14:paraId="757746B8" w14:textId="77777777" w:rsidR="00E91C34" w:rsidRPr="00E91C34" w:rsidRDefault="00E91C34" w:rsidP="00036CD0">
      <w:r w:rsidRPr="00E91C34">
        <w:t xml:space="preserve">316 | Syndromes myélodysplasiques </w:t>
      </w:r>
    </w:p>
    <w:p w14:paraId="67FEE803" w14:textId="77777777" w:rsidR="00E91C34" w:rsidRPr="00E91C34" w:rsidRDefault="00E91C34" w:rsidP="00036CD0">
      <w:r w:rsidRPr="00E91C34">
        <w:t xml:space="preserve">317 | Syndromes myéloprolifératifs </w:t>
      </w:r>
    </w:p>
    <w:p w14:paraId="3440E4E9" w14:textId="4683701D" w:rsidR="00CB52C6" w:rsidRDefault="00E91C34" w:rsidP="00036CD0">
      <w:r w:rsidRPr="00E91C34">
        <w:t>318 | Leucémie lymphoïde chronique</w:t>
      </w:r>
    </w:p>
    <w:p w14:paraId="197A7107" w14:textId="77777777" w:rsidR="00E91C34" w:rsidRPr="00CB52C6" w:rsidRDefault="00E91C34" w:rsidP="00036CD0">
      <w:r w:rsidRPr="00E91C34">
        <w:t xml:space="preserve">319 | Lymphomes malins </w:t>
      </w:r>
    </w:p>
    <w:p w14:paraId="2E207515" w14:textId="77777777" w:rsidR="00E91C34" w:rsidRPr="00E91C34" w:rsidRDefault="00E91C34" w:rsidP="00036CD0">
      <w:r w:rsidRPr="00E91C34">
        <w:t xml:space="preserve">320 | Myélome multiple des os </w:t>
      </w:r>
    </w:p>
    <w:p w14:paraId="36CEC250" w14:textId="77777777" w:rsidR="00C3307C" w:rsidRDefault="00E91C34" w:rsidP="00036CD0">
      <w:pPr>
        <w:rPr>
          <w:rFonts w:ascii="Times New Roman" w:hAnsi="Times New Roman" w:cs="Times New Roman"/>
          <w:w w:val="95"/>
        </w:rPr>
      </w:pPr>
      <w:r w:rsidRPr="00E91C34">
        <w:t xml:space="preserve">329 | </w:t>
      </w:r>
      <w:r w:rsidR="00C3307C" w:rsidRPr="00C3307C">
        <w:t>Connaître les caractéristiques des produits sanguins labiles (PSL) et leur spécificité.</w:t>
      </w:r>
    </w:p>
    <w:p w14:paraId="3A5E02ED" w14:textId="32B8C578" w:rsidR="000818D4" w:rsidRDefault="00E91C34" w:rsidP="00036CD0">
      <w:r w:rsidRPr="00E91C34">
        <w:t xml:space="preserve">330 | </w:t>
      </w:r>
      <w:r w:rsidR="00C3307C" w:rsidRPr="00C3307C">
        <w:t>Prescription et surveillance des classes de médicaments les plus courantes chez l’adulte et chez l’enfant, hors anti-infectieux (voir item 177). Connaître le bon usage des pri</w:t>
      </w:r>
      <w:r w:rsidR="00C3307C">
        <w:t>ncipales classes thérapeutiques</w:t>
      </w:r>
      <w:r w:rsidR="0098669B">
        <w:t> :</w:t>
      </w:r>
      <w:r w:rsidRPr="00E91C34">
        <w:t xml:space="preserve">  </w:t>
      </w:r>
      <w:r w:rsidR="004C70C7" w:rsidRPr="00C3307C">
        <w:t>Antiagrégants</w:t>
      </w:r>
      <w:r w:rsidR="00C3307C" w:rsidRPr="00C3307C">
        <w:t xml:space="preserve"> plaquettaires </w:t>
      </w:r>
      <w:r w:rsidR="0098669B">
        <w:t xml:space="preserve">- </w:t>
      </w:r>
      <w:r w:rsidR="00C3307C" w:rsidRPr="00C3307C">
        <w:t xml:space="preserve">Héparines </w:t>
      </w:r>
      <w:r w:rsidR="0098669B">
        <w:t xml:space="preserve">- </w:t>
      </w:r>
      <w:r w:rsidR="00C3307C" w:rsidRPr="00C3307C">
        <w:t>Anticoagulants oraux (anti-vitamine K (AVK) et anticoagulants oraux directs (AOD))</w:t>
      </w:r>
    </w:p>
    <w:sectPr w:rsidR="0008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34"/>
    <w:rsid w:val="00030B7A"/>
    <w:rsid w:val="00036CD0"/>
    <w:rsid w:val="000818D4"/>
    <w:rsid w:val="001C55EA"/>
    <w:rsid w:val="001F4A40"/>
    <w:rsid w:val="00254BCF"/>
    <w:rsid w:val="002B1A23"/>
    <w:rsid w:val="003819CA"/>
    <w:rsid w:val="004215AE"/>
    <w:rsid w:val="004B39CB"/>
    <w:rsid w:val="004C70C7"/>
    <w:rsid w:val="004E19B0"/>
    <w:rsid w:val="004F623B"/>
    <w:rsid w:val="0052777C"/>
    <w:rsid w:val="00537561"/>
    <w:rsid w:val="00552EB0"/>
    <w:rsid w:val="0057524A"/>
    <w:rsid w:val="005B60FE"/>
    <w:rsid w:val="00754EBF"/>
    <w:rsid w:val="00835E02"/>
    <w:rsid w:val="00841C07"/>
    <w:rsid w:val="0098669B"/>
    <w:rsid w:val="00AB6069"/>
    <w:rsid w:val="00AC7A41"/>
    <w:rsid w:val="00AD7BB6"/>
    <w:rsid w:val="00B37437"/>
    <w:rsid w:val="00C3307C"/>
    <w:rsid w:val="00CB52C6"/>
    <w:rsid w:val="00D034D9"/>
    <w:rsid w:val="00DA5001"/>
    <w:rsid w:val="00E40C01"/>
    <w:rsid w:val="00E455DE"/>
    <w:rsid w:val="00E91C34"/>
    <w:rsid w:val="00EA3377"/>
    <w:rsid w:val="00ED49BC"/>
    <w:rsid w:val="00F8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21BB"/>
  <w15:docId w15:val="{83721FCB-B8C0-E74F-9996-1D8F617F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D0"/>
    <w:pPr>
      <w:spacing w:line="240" w:lineRule="auto"/>
      <w:jc w:val="both"/>
    </w:pPr>
    <w:rPr>
      <w:rFonts w:eastAsia="Times New Roman" w:cs="Segoe UI"/>
      <w:b/>
      <w:bCs/>
      <w:color w:val="365F91" w:themeColor="accent1" w:themeShade="BF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0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B6069"/>
    <w:pPr>
      <w:widowControl w:val="0"/>
      <w:autoSpaceDE w:val="0"/>
      <w:autoSpaceDN w:val="0"/>
      <w:spacing w:before="11" w:after="0"/>
    </w:pPr>
    <w:rPr>
      <w:rFonts w:ascii="Book Antiqua" w:eastAsia="Book Antiqua" w:hAnsi="Book Antiqua" w:cs="Book Antiqua"/>
      <w:sz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B6069"/>
    <w:rPr>
      <w:rFonts w:ascii="Book Antiqua" w:eastAsia="Book Antiqua" w:hAnsi="Book Antiqua" w:cs="Book Antiqu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AB6069"/>
    <w:pPr>
      <w:widowControl w:val="0"/>
      <w:autoSpaceDE w:val="0"/>
      <w:autoSpaceDN w:val="0"/>
      <w:spacing w:after="0" w:line="219" w:lineRule="exact"/>
    </w:pPr>
    <w:rPr>
      <w:rFonts w:ascii="Book Antiqua" w:eastAsia="Book Antiqua" w:hAnsi="Book Antiqua" w:cs="Book Antiqu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Reims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adelmer</dc:creator>
  <cp:lastModifiedBy>mcesaireg@outlook.com</cp:lastModifiedBy>
  <cp:revision>2</cp:revision>
  <dcterms:created xsi:type="dcterms:W3CDTF">2023-12-18T09:28:00Z</dcterms:created>
  <dcterms:modified xsi:type="dcterms:W3CDTF">2023-12-18T09:28:00Z</dcterms:modified>
</cp:coreProperties>
</file>